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945F81">
        <w:rPr>
          <w:rFonts w:ascii="Century Gothic" w:eastAsia="Times New Roman" w:hAnsi="Century Gothic" w:cs="Times New Roman"/>
          <w:szCs w:val="20"/>
          <w:lang w:eastAsia="it-IT"/>
        </w:rPr>
        <w:t>crediti.bccmazzarino@pec.it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945F81">
        <w:rPr>
          <w:rFonts w:ascii="Century Gothic" w:eastAsia="Times New Roman" w:hAnsi="Century Gothic" w:cs="Times New Roman"/>
          <w:szCs w:val="20"/>
          <w:lang w:eastAsia="it-IT"/>
        </w:rPr>
        <w:t>crediti@bccmazzarino.it</w:t>
      </w:r>
      <w:bookmarkStart w:id="0" w:name="_GoBack"/>
      <w:bookmarkEnd w:id="0"/>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45F8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D82"/>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B52B8DA2.dotm</Template>
  <TotalTime>140</TotalTime>
  <Pages>3</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Salvatore Bilardo</cp:lastModifiedBy>
  <cp:revision>13</cp:revision>
  <dcterms:created xsi:type="dcterms:W3CDTF">2020-05-05T16:25:00Z</dcterms:created>
  <dcterms:modified xsi:type="dcterms:W3CDTF">2020-05-13T09:21:00Z</dcterms:modified>
</cp:coreProperties>
</file>